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2E" w:rsidRDefault="00BC492E" w:rsidP="00BC492E">
      <w:pPr>
        <w:autoSpaceDE w:val="0"/>
        <w:autoSpaceDN w:val="0"/>
        <w:adjustRightInd w:val="0"/>
        <w:spacing w:after="0" w:line="240" w:lineRule="auto"/>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A 187. sorszámú Pincér megnevezésű szakképesítés szakmai és vizsgakövetelménye</w:t>
      </w:r>
    </w:p>
    <w:p w:rsidR="00BC492E" w:rsidRDefault="00BC492E" w:rsidP="00BC492E">
      <w:pPr>
        <w:widowControl w:val="0"/>
        <w:autoSpaceDE w:val="0"/>
        <w:autoSpaceDN w:val="0"/>
        <w:adjustRightInd w:val="0"/>
        <w:spacing w:after="0" w:line="240" w:lineRule="auto"/>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 AZ ORSZÁGOS KÉPZÉSI JEGYZÉKBEN SZEREPLŐ ADATOK</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 A szakképesítés azonosító száma: 34 811 03</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1.2. Szakképesítés megnevezése: Pincér</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 Iskolai rendszerű szakképzésben a szakképzési évfolyamok száma: 3</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1.4. Iskolarendszeren kívüli szakképzésben az óraszám: 960-1440</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 EGYÉB ADATOK</w:t>
      </w:r>
    </w:p>
    <w:p w:rsidR="00BC492E" w:rsidRDefault="00BC492E" w:rsidP="00BC492E">
      <w:pPr>
        <w:widowControl w:val="0"/>
        <w:autoSpaceDE w:val="0"/>
        <w:autoSpaceDN w:val="0"/>
        <w:adjustRightInd w:val="0"/>
        <w:spacing w:after="0" w:line="240" w:lineRule="auto"/>
        <w:ind w:left="564" w:hanging="360"/>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 A képzés megkezdésének feltételei:</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2.1.1. Iskolai előképzettség: alapfokú iskolai végzettség</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vagy iskolai előképzettség hiányában</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2.1.2. Bemeneti kompetenciák: a képzés megkezdhető e rendelet 3. számú mellékletében a Vendéglátás-turisztika szakmacsoportra meghatározott kompetenciák birtokában</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 Szakmai előképzettség: –</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2.3. Előírt gyakorlat: –</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2.4. Egészségügyi alkalmassági követelmények: szükségesek</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2.5 Pályaalkalmassági követelmények: szükségesek</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2.6. Elméleti képzési idő aránya: 30 %</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2.7. Gyakorlati képzési idő aránya: 70 %</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2.8. Szintvizsga: nappali rendszerű oktatás vagy a nappali oktatás munkarendje szerint szervezett felnőttoktatás esetén kötelező</w:t>
      </w:r>
    </w:p>
    <w:p w:rsidR="00BC492E" w:rsidRDefault="00BC492E" w:rsidP="00BC492E">
      <w:pPr>
        <w:widowControl w:val="0"/>
        <w:autoSpaceDE w:val="0"/>
        <w:autoSpaceDN w:val="0"/>
        <w:adjustRightInd w:val="0"/>
        <w:spacing w:after="0" w:line="240" w:lineRule="auto"/>
        <w:ind w:firstLine="204"/>
        <w:jc w:val="both"/>
        <w:rPr>
          <w:rFonts w:ascii="Times New Roman" w:hAnsi="Times New Roman" w:cs="Times New Roman"/>
          <w:sz w:val="20"/>
          <w:szCs w:val="20"/>
          <w:u w:val="single"/>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2.9. Az iskolai rendszerű képzésben az összefüggő szakmai gyakorlat időtartama: 3 évfolyamos képzés esetén a 9. évfolyamot követően 140 óra, a 10. évfolyamot követően 140 óra; 2 évfolyamos képzés esetén az első szakképzési évfolyamot követően 160 óra</w:t>
      </w:r>
    </w:p>
    <w:p w:rsidR="00BC492E" w:rsidRDefault="00BC492E" w:rsidP="00BC492E">
      <w:pPr>
        <w:widowControl w:val="0"/>
        <w:autoSpaceDE w:val="0"/>
        <w:autoSpaceDN w:val="0"/>
        <w:adjustRightInd w:val="0"/>
        <w:spacing w:after="0" w:line="240" w:lineRule="auto"/>
        <w:ind w:left="142"/>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ind w:left="142"/>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 PÁLYATÜKÖR</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3.1. A szakképesítéssel legjellemzőbben betölthető munkakör(ök), foglalkozás(ok)</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365"/>
        <w:gridCol w:w="2881"/>
        <w:gridCol w:w="4125"/>
      </w:tblGrid>
      <w:tr w:rsidR="00BC492E" w:rsidTr="002E154E">
        <w:tc>
          <w:tcPr>
            <w:tcW w:w="1257"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1365"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881"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4125"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C</w:t>
            </w:r>
          </w:p>
        </w:tc>
      </w:tr>
      <w:tr w:rsidR="00BC492E" w:rsidTr="002E154E">
        <w:tc>
          <w:tcPr>
            <w:tcW w:w="1257"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3.1.1.</w:t>
            </w:r>
          </w:p>
        </w:tc>
        <w:tc>
          <w:tcPr>
            <w:tcW w:w="1365"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száma</w:t>
            </w:r>
          </w:p>
        </w:tc>
        <w:tc>
          <w:tcPr>
            <w:tcW w:w="2881"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FEOR megnevezése</w:t>
            </w:r>
          </w:p>
        </w:tc>
        <w:tc>
          <w:tcPr>
            <w:tcW w:w="4125"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szakképesítéssel betölthető munkakör(ök)</w:t>
            </w:r>
          </w:p>
        </w:tc>
      </w:tr>
      <w:tr w:rsidR="00BC492E" w:rsidTr="002E154E">
        <w:trPr>
          <w:cantSplit/>
        </w:trPr>
        <w:tc>
          <w:tcPr>
            <w:tcW w:w="1257"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3.1.2.</w:t>
            </w:r>
          </w:p>
        </w:tc>
        <w:tc>
          <w:tcPr>
            <w:tcW w:w="1365" w:type="dxa"/>
            <w:vMerge w:val="restart"/>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p>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p>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5132</w:t>
            </w:r>
          </w:p>
        </w:tc>
        <w:tc>
          <w:tcPr>
            <w:tcW w:w="2881" w:type="dxa"/>
            <w:vMerge w:val="restart"/>
          </w:tcPr>
          <w:p w:rsidR="00BC492E" w:rsidRDefault="00BC492E" w:rsidP="002E154E">
            <w:pPr>
              <w:widowControl w:val="0"/>
              <w:autoSpaceDE w:val="0"/>
              <w:autoSpaceDN w:val="0"/>
              <w:adjustRightInd w:val="0"/>
              <w:spacing w:after="0" w:line="240" w:lineRule="auto"/>
              <w:ind w:firstLine="77"/>
              <w:jc w:val="center"/>
              <w:rPr>
                <w:rFonts w:ascii="Times New Roman" w:hAnsi="Times New Roman" w:cs="Times New Roman"/>
                <w:sz w:val="20"/>
                <w:szCs w:val="20"/>
              </w:rPr>
            </w:pPr>
          </w:p>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p>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Pincér</w:t>
            </w:r>
          </w:p>
        </w:tc>
        <w:tc>
          <w:tcPr>
            <w:tcW w:w="4125"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Étkezőkocsi felszolgáló</w:t>
            </w:r>
          </w:p>
        </w:tc>
      </w:tr>
      <w:tr w:rsidR="00BC492E" w:rsidTr="002E154E">
        <w:trPr>
          <w:cantSplit/>
        </w:trPr>
        <w:tc>
          <w:tcPr>
            <w:tcW w:w="1257"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3.1.3.</w:t>
            </w:r>
          </w:p>
        </w:tc>
        <w:tc>
          <w:tcPr>
            <w:tcW w:w="1365" w:type="dxa"/>
            <w:vMerge/>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2881" w:type="dxa"/>
            <w:vMerge/>
          </w:tcPr>
          <w:p w:rsidR="00BC492E" w:rsidRDefault="00BC492E" w:rsidP="002E154E">
            <w:pPr>
              <w:widowControl w:val="0"/>
              <w:autoSpaceDE w:val="0"/>
              <w:autoSpaceDN w:val="0"/>
              <w:adjustRightInd w:val="0"/>
              <w:spacing w:after="0" w:line="240" w:lineRule="auto"/>
              <w:ind w:firstLine="77"/>
              <w:jc w:val="center"/>
              <w:rPr>
                <w:rFonts w:ascii="Times New Roman" w:hAnsi="Times New Roman" w:cs="Times New Roman"/>
                <w:sz w:val="20"/>
                <w:szCs w:val="20"/>
              </w:rPr>
            </w:pPr>
          </w:p>
        </w:tc>
        <w:tc>
          <w:tcPr>
            <w:tcW w:w="4125"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Éttermi felszolgáló</w:t>
            </w:r>
          </w:p>
        </w:tc>
      </w:tr>
      <w:tr w:rsidR="00BC492E" w:rsidTr="002E154E">
        <w:trPr>
          <w:cantSplit/>
        </w:trPr>
        <w:tc>
          <w:tcPr>
            <w:tcW w:w="1257"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3.1.4.</w:t>
            </w:r>
          </w:p>
        </w:tc>
        <w:tc>
          <w:tcPr>
            <w:tcW w:w="1365" w:type="dxa"/>
            <w:vMerge/>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2881" w:type="dxa"/>
            <w:vMerge/>
          </w:tcPr>
          <w:p w:rsidR="00BC492E" w:rsidRDefault="00BC492E" w:rsidP="002E154E">
            <w:pPr>
              <w:widowControl w:val="0"/>
              <w:autoSpaceDE w:val="0"/>
              <w:autoSpaceDN w:val="0"/>
              <w:adjustRightInd w:val="0"/>
              <w:spacing w:after="0" w:line="240" w:lineRule="auto"/>
              <w:ind w:firstLine="77"/>
              <w:jc w:val="center"/>
              <w:rPr>
                <w:rFonts w:ascii="Times New Roman" w:hAnsi="Times New Roman" w:cs="Times New Roman"/>
                <w:sz w:val="20"/>
                <w:szCs w:val="20"/>
              </w:rPr>
            </w:pPr>
          </w:p>
        </w:tc>
        <w:tc>
          <w:tcPr>
            <w:tcW w:w="4125"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Főpincér</w:t>
            </w:r>
          </w:p>
        </w:tc>
      </w:tr>
      <w:tr w:rsidR="00BC492E" w:rsidTr="002E154E">
        <w:trPr>
          <w:cantSplit/>
        </w:trPr>
        <w:tc>
          <w:tcPr>
            <w:tcW w:w="1257"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3.1.5.</w:t>
            </w:r>
          </w:p>
        </w:tc>
        <w:tc>
          <w:tcPr>
            <w:tcW w:w="1365" w:type="dxa"/>
            <w:vMerge/>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2881" w:type="dxa"/>
            <w:vMerge/>
          </w:tcPr>
          <w:p w:rsidR="00BC492E" w:rsidRDefault="00BC492E" w:rsidP="002E154E">
            <w:pPr>
              <w:widowControl w:val="0"/>
              <w:autoSpaceDE w:val="0"/>
              <w:autoSpaceDN w:val="0"/>
              <w:adjustRightInd w:val="0"/>
              <w:spacing w:after="0" w:line="240" w:lineRule="auto"/>
              <w:ind w:firstLine="77"/>
              <w:jc w:val="center"/>
              <w:rPr>
                <w:rFonts w:ascii="Times New Roman" w:hAnsi="Times New Roman" w:cs="Times New Roman"/>
                <w:sz w:val="20"/>
                <w:szCs w:val="20"/>
              </w:rPr>
            </w:pPr>
          </w:p>
        </w:tc>
        <w:tc>
          <w:tcPr>
            <w:tcW w:w="4125"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Hajópincér</w:t>
            </w:r>
          </w:p>
        </w:tc>
      </w:tr>
      <w:tr w:rsidR="00BC492E" w:rsidTr="002E154E">
        <w:trPr>
          <w:cantSplit/>
        </w:trPr>
        <w:tc>
          <w:tcPr>
            <w:tcW w:w="1257"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3.1.6.</w:t>
            </w:r>
          </w:p>
        </w:tc>
        <w:tc>
          <w:tcPr>
            <w:tcW w:w="1365" w:type="dxa"/>
            <w:vMerge/>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2881" w:type="dxa"/>
            <w:vMerge/>
          </w:tcPr>
          <w:p w:rsidR="00BC492E" w:rsidRDefault="00BC492E" w:rsidP="002E154E">
            <w:pPr>
              <w:widowControl w:val="0"/>
              <w:autoSpaceDE w:val="0"/>
              <w:autoSpaceDN w:val="0"/>
              <w:adjustRightInd w:val="0"/>
              <w:spacing w:after="0" w:line="240" w:lineRule="auto"/>
              <w:ind w:firstLine="77"/>
              <w:jc w:val="center"/>
              <w:rPr>
                <w:rFonts w:ascii="Times New Roman" w:hAnsi="Times New Roman" w:cs="Times New Roman"/>
                <w:sz w:val="20"/>
                <w:szCs w:val="20"/>
              </w:rPr>
            </w:pPr>
          </w:p>
        </w:tc>
        <w:tc>
          <w:tcPr>
            <w:tcW w:w="4125"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Italpincér</w:t>
            </w:r>
          </w:p>
        </w:tc>
      </w:tr>
    </w:tbl>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3.2. A szakképesítés munkaterületének rövid leírása:</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pincér a különböző vendéglátó tevékenységet folytató gazdálkodó szervezetek hálózati egységeiben </w:t>
      </w:r>
      <w:r>
        <w:rPr>
          <w:rFonts w:ascii="Times New Roman" w:hAnsi="Times New Roman" w:cs="Times New Roman"/>
          <w:sz w:val="20"/>
          <w:szCs w:val="20"/>
        </w:rPr>
        <w:lastRenderedPageBreak/>
        <w:t>értékesítési és szolgáltatási feladatokat lát el. A vendégek által igényelt, illetve az ajánlott termék felszolgálását és a kapcsolódó szolgáltatásokat a tőle elvárható legmagasabb szakmai színvonalon biztosítja, az udvarias és szakszerű felszolgálás előírásai szerint. Fogadja a vendégeket, ételeket, italokat szolgál fel.</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szakképesítéssel rendelkező képes:</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üzemeltetéssel kapcsolatos teendőket elvégezni</w:t>
      </w:r>
    </w:p>
    <w:p w:rsidR="00BC492E" w:rsidRDefault="00BC492E" w:rsidP="00BC492E">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az árukészlet alakulását figyelemmel kísérni, részt venni az áru szakszerű minőségi és mennyiségi átvételében, előírásoknak megfelelő tárolásában és dokumentálásában</w:t>
      </w:r>
    </w:p>
    <w:p w:rsidR="00BC492E" w:rsidRDefault="00BC492E" w:rsidP="00BC492E">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munkaterületét és a vendégteret nyitásra előkészíteni</w:t>
      </w:r>
    </w:p>
    <w:p w:rsidR="00BC492E" w:rsidRDefault="00BC492E" w:rsidP="00BC492E">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felszolgálni, fogadni a vendéget, leültetetni a protokoll-előírások szerint, ismertetni a választékot, ételeket és italokat ajánlani, a rendelést felvenni</w:t>
      </w:r>
    </w:p>
    <w:p w:rsidR="00BC492E" w:rsidRDefault="00BC492E" w:rsidP="00BC492E">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a felszolgáláshoz szükséges eszközöket előkészíteni, a vendégek által választott ételeket és italokat szakszerűen felszolgálni</w:t>
      </w:r>
    </w:p>
    <w:p w:rsidR="00BC492E" w:rsidRDefault="00BC492E" w:rsidP="00BC492E">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megszervezni a saját munkáját, a felszolgálandó étel és ital minőségét, mennyiségét és hőmérsékletét figyelemmel kísérni</w:t>
      </w:r>
    </w:p>
    <w:p w:rsidR="00BC492E" w:rsidRDefault="00BC492E" w:rsidP="00BC492E">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számlákat készíteni</w:t>
      </w:r>
    </w:p>
    <w:p w:rsidR="00BC492E" w:rsidRDefault="00BC492E" w:rsidP="00BC492E">
      <w:pPr>
        <w:widowControl w:val="0"/>
        <w:autoSpaceDE w:val="0"/>
        <w:autoSpaceDN w:val="0"/>
        <w:adjustRightInd w:val="0"/>
        <w:spacing w:after="0" w:line="240" w:lineRule="auto"/>
        <w:ind w:left="714" w:hanging="357"/>
        <w:jc w:val="both"/>
        <w:rPr>
          <w:rFonts w:ascii="Times New Roman" w:hAnsi="Times New Roman" w:cs="Times New Roman"/>
          <w:b/>
          <w:bCs/>
          <w:sz w:val="20"/>
          <w:szCs w:val="20"/>
        </w:rPr>
      </w:pPr>
      <w:r>
        <w:rPr>
          <w:rFonts w:ascii="Times New Roman" w:hAnsi="Times New Roman" w:cs="Times New Roman"/>
          <w:sz w:val="20"/>
          <w:szCs w:val="20"/>
        </w:rPr>
        <w:t>-</w:t>
      </w:r>
      <w:r>
        <w:rPr>
          <w:rFonts w:ascii="Times New Roman" w:hAnsi="Times New Roman" w:cs="Times New Roman"/>
          <w:sz w:val="20"/>
          <w:szCs w:val="20"/>
        </w:rPr>
        <w:tab/>
        <w:t>átvenni a fogyasztás ellenértékét, pénztárgépet kezelni, zárás után a vendégek távozását ellenőrizni, elszámolást készíteni</w:t>
      </w:r>
    </w:p>
    <w:p w:rsidR="00BC492E" w:rsidRDefault="00BC492E" w:rsidP="00BC492E">
      <w:pPr>
        <w:widowControl w:val="0"/>
        <w:autoSpaceDE w:val="0"/>
        <w:autoSpaceDN w:val="0"/>
        <w:adjustRightInd w:val="0"/>
        <w:spacing w:after="0" w:line="240" w:lineRule="auto"/>
        <w:ind w:left="714" w:hanging="357"/>
        <w:jc w:val="both"/>
        <w:rPr>
          <w:rFonts w:ascii="Times New Roman" w:hAnsi="Times New Roman" w:cs="Times New Roman"/>
          <w:b/>
          <w:bCs/>
          <w:sz w:val="20"/>
          <w:szCs w:val="20"/>
        </w:rPr>
      </w:pPr>
      <w:r>
        <w:rPr>
          <w:rFonts w:ascii="Times New Roman" w:hAnsi="Times New Roman" w:cs="Times New Roman"/>
          <w:sz w:val="20"/>
          <w:szCs w:val="20"/>
        </w:rPr>
        <w:t>-</w:t>
      </w:r>
      <w:r>
        <w:rPr>
          <w:rFonts w:ascii="Times New Roman" w:hAnsi="Times New Roman" w:cs="Times New Roman"/>
          <w:sz w:val="20"/>
          <w:szCs w:val="20"/>
        </w:rPr>
        <w:tab/>
        <w:t>HAACP dokumentációkat kitölteni</w:t>
      </w:r>
    </w:p>
    <w:p w:rsidR="00BC492E" w:rsidRDefault="00BC492E" w:rsidP="00BC492E">
      <w:pPr>
        <w:widowControl w:val="0"/>
        <w:autoSpaceDE w:val="0"/>
        <w:autoSpaceDN w:val="0"/>
        <w:adjustRightInd w:val="0"/>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idegen nyelven rendelést felvenni</w:t>
      </w:r>
    </w:p>
    <w:p w:rsidR="00BC492E" w:rsidRDefault="00BC492E" w:rsidP="00BC492E">
      <w:pPr>
        <w:widowControl w:val="0"/>
        <w:autoSpaceDE w:val="0"/>
        <w:autoSpaceDN w:val="0"/>
        <w:adjustRightInd w:val="0"/>
        <w:spacing w:after="0" w:line="240" w:lineRule="auto"/>
        <w:ind w:left="714" w:hanging="357"/>
        <w:jc w:val="both"/>
        <w:rPr>
          <w:rFonts w:ascii="Times New Roman" w:hAnsi="Times New Roman" w:cs="Times New Roman"/>
          <w:b/>
          <w:bCs/>
          <w:sz w:val="20"/>
          <w:szCs w:val="20"/>
        </w:rPr>
      </w:pPr>
      <w:r>
        <w:rPr>
          <w:rFonts w:ascii="Times New Roman" w:hAnsi="Times New Roman" w:cs="Times New Roman"/>
          <w:sz w:val="20"/>
          <w:szCs w:val="20"/>
        </w:rPr>
        <w:t>-</w:t>
      </w:r>
      <w:r>
        <w:rPr>
          <w:rFonts w:ascii="Times New Roman" w:hAnsi="Times New Roman" w:cs="Times New Roman"/>
          <w:sz w:val="20"/>
          <w:szCs w:val="20"/>
        </w:rPr>
        <w:tab/>
        <w:t>környezetvédelmi előírásokat alkalmazni</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 Kapcsolódó szakképesítések</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2483"/>
        <w:gridCol w:w="2835"/>
        <w:gridCol w:w="2834"/>
      </w:tblGrid>
      <w:tr w:rsidR="00BC492E" w:rsidTr="002E154E">
        <w:trPr>
          <w:jc w:val="center"/>
        </w:trPr>
        <w:tc>
          <w:tcPr>
            <w:tcW w:w="1000"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p>
        </w:tc>
        <w:tc>
          <w:tcPr>
            <w:tcW w:w="2483"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835"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2834"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C</w:t>
            </w:r>
          </w:p>
        </w:tc>
      </w:tr>
      <w:tr w:rsidR="00BC492E" w:rsidTr="002E154E">
        <w:trPr>
          <w:jc w:val="center"/>
        </w:trPr>
        <w:tc>
          <w:tcPr>
            <w:tcW w:w="1000"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3.3.1.</w:t>
            </w:r>
          </w:p>
        </w:tc>
        <w:tc>
          <w:tcPr>
            <w:tcW w:w="8152" w:type="dxa"/>
            <w:gridSpan w:val="3"/>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kapcsolódó szakképesítés, részszakképesítés, szakképesítés-ráépülés</w:t>
            </w:r>
          </w:p>
        </w:tc>
      </w:tr>
      <w:tr w:rsidR="00BC492E" w:rsidTr="002E154E">
        <w:trPr>
          <w:jc w:val="center"/>
        </w:trPr>
        <w:tc>
          <w:tcPr>
            <w:tcW w:w="1000"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3.3.2.</w:t>
            </w:r>
          </w:p>
        </w:tc>
        <w:tc>
          <w:tcPr>
            <w:tcW w:w="2483"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835"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 xml:space="preserve"> megnevezése</w:t>
            </w:r>
          </w:p>
        </w:tc>
        <w:tc>
          <w:tcPr>
            <w:tcW w:w="2834"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kapcsolódás módja</w:t>
            </w:r>
          </w:p>
        </w:tc>
      </w:tr>
      <w:tr w:rsidR="00BC492E" w:rsidTr="002E154E">
        <w:trPr>
          <w:jc w:val="center"/>
        </w:trPr>
        <w:tc>
          <w:tcPr>
            <w:tcW w:w="1000"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3.3.3.</w:t>
            </w:r>
          </w:p>
        </w:tc>
        <w:tc>
          <w:tcPr>
            <w:tcW w:w="2483"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35 811 02</w:t>
            </w:r>
          </w:p>
        </w:tc>
        <w:tc>
          <w:tcPr>
            <w:tcW w:w="2835"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Vendéglátó üzletvezető</w:t>
            </w:r>
          </w:p>
        </w:tc>
        <w:tc>
          <w:tcPr>
            <w:tcW w:w="2834"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szakképesítés-ráépülés</w:t>
            </w:r>
          </w:p>
        </w:tc>
      </w:tr>
    </w:tbl>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 SZAKMAI KÖVETELMÉNYEK</w:t>
      </w:r>
    </w:p>
    <w:p w:rsidR="00BC492E" w:rsidRDefault="00BC492E" w:rsidP="00BC492E">
      <w:pPr>
        <w:widowControl w:val="0"/>
        <w:autoSpaceDE w:val="0"/>
        <w:autoSpaceDN w:val="0"/>
        <w:adjustRightInd w:val="0"/>
        <w:spacing w:after="0" w:line="240" w:lineRule="auto"/>
        <w:jc w:val="center"/>
        <w:rPr>
          <w:rFonts w:ascii="Times New Roman" w:hAnsi="Times New Roman" w:cs="Times New Roman"/>
          <w:b/>
          <w:bCs/>
          <w:sz w:val="20"/>
          <w:szCs w:val="20"/>
        </w:rPr>
      </w:pPr>
    </w:p>
    <w:p w:rsidR="00BC492E" w:rsidRDefault="00BC492E" w:rsidP="00BC492E">
      <w:pPr>
        <w:widowControl w:val="0"/>
        <w:autoSpaceDE w:val="0"/>
        <w:autoSpaceDN w:val="0"/>
        <w:adjustRightInd w:val="0"/>
        <w:spacing w:after="0" w:line="240" w:lineRule="auto"/>
        <w:jc w:val="center"/>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2419"/>
        <w:gridCol w:w="5047"/>
      </w:tblGrid>
      <w:tr w:rsidR="00BC492E" w:rsidTr="002E154E">
        <w:trPr>
          <w:jc w:val="center"/>
        </w:trPr>
        <w:tc>
          <w:tcPr>
            <w:tcW w:w="665"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p>
        </w:tc>
        <w:tc>
          <w:tcPr>
            <w:tcW w:w="2419"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c>
          <w:tcPr>
            <w:tcW w:w="5047"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w:t>
            </w:r>
          </w:p>
        </w:tc>
      </w:tr>
      <w:tr w:rsidR="00BC492E" w:rsidTr="002E154E">
        <w:trPr>
          <w:jc w:val="center"/>
        </w:trPr>
        <w:tc>
          <w:tcPr>
            <w:tcW w:w="665"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7466" w:type="dxa"/>
            <w:gridSpan w:val="2"/>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A szakképesítés szakmai követelménymoduljainak az állam által elismert szakképesítések szakmai követelménymoduljairól szóló kormányrendelet szerinti</w:t>
            </w:r>
          </w:p>
        </w:tc>
      </w:tr>
      <w:tr w:rsidR="00BC492E" w:rsidTr="002E154E">
        <w:trPr>
          <w:jc w:val="center"/>
        </w:trPr>
        <w:tc>
          <w:tcPr>
            <w:tcW w:w="665"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241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5047"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megnevezése </w:t>
            </w:r>
          </w:p>
        </w:tc>
      </w:tr>
      <w:tr w:rsidR="00BC492E" w:rsidTr="002E154E">
        <w:trPr>
          <w:trHeight w:val="255"/>
          <w:jc w:val="center"/>
        </w:trPr>
        <w:tc>
          <w:tcPr>
            <w:tcW w:w="665"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241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10044-12</w:t>
            </w:r>
          </w:p>
        </w:tc>
        <w:tc>
          <w:tcPr>
            <w:tcW w:w="5047"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Élelmiszer, fogyasztóvédelem</w:t>
            </w:r>
          </w:p>
        </w:tc>
      </w:tr>
      <w:tr w:rsidR="00BC492E" w:rsidTr="002E154E">
        <w:trPr>
          <w:trHeight w:val="255"/>
          <w:jc w:val="center"/>
        </w:trPr>
        <w:tc>
          <w:tcPr>
            <w:tcW w:w="665"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241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10045-12</w:t>
            </w:r>
          </w:p>
        </w:tc>
        <w:tc>
          <w:tcPr>
            <w:tcW w:w="5047"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Gazdálkodás</w:t>
            </w:r>
          </w:p>
        </w:tc>
      </w:tr>
      <w:tr w:rsidR="00BC492E" w:rsidTr="002E154E">
        <w:trPr>
          <w:trHeight w:val="255"/>
          <w:jc w:val="center"/>
        </w:trPr>
        <w:tc>
          <w:tcPr>
            <w:tcW w:w="665"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241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10046-12</w:t>
            </w:r>
          </w:p>
        </w:tc>
        <w:tc>
          <w:tcPr>
            <w:tcW w:w="5047"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Szakmai idegen nyelv</w:t>
            </w:r>
          </w:p>
        </w:tc>
      </w:tr>
      <w:tr w:rsidR="00BC492E" w:rsidTr="002E154E">
        <w:trPr>
          <w:trHeight w:val="255"/>
          <w:jc w:val="center"/>
        </w:trPr>
        <w:tc>
          <w:tcPr>
            <w:tcW w:w="665"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241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10047-12</w:t>
            </w:r>
          </w:p>
        </w:tc>
        <w:tc>
          <w:tcPr>
            <w:tcW w:w="5047"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Felszolgálás alapjai</w:t>
            </w:r>
          </w:p>
        </w:tc>
      </w:tr>
      <w:tr w:rsidR="00BC492E" w:rsidTr="002E154E">
        <w:trPr>
          <w:trHeight w:val="255"/>
          <w:jc w:val="center"/>
        </w:trPr>
        <w:tc>
          <w:tcPr>
            <w:tcW w:w="665"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241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10074-12</w:t>
            </w:r>
          </w:p>
        </w:tc>
        <w:tc>
          <w:tcPr>
            <w:tcW w:w="5047"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Felszolgálás</w:t>
            </w:r>
          </w:p>
        </w:tc>
      </w:tr>
      <w:tr w:rsidR="00BC492E" w:rsidTr="002E154E">
        <w:trPr>
          <w:trHeight w:val="255"/>
          <w:jc w:val="center"/>
        </w:trPr>
        <w:tc>
          <w:tcPr>
            <w:tcW w:w="665"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2419"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11497-12</w:t>
            </w:r>
          </w:p>
        </w:tc>
        <w:tc>
          <w:tcPr>
            <w:tcW w:w="5047"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w:t>
            </w:r>
          </w:p>
        </w:tc>
      </w:tr>
      <w:tr w:rsidR="00BC492E" w:rsidTr="002E154E">
        <w:trPr>
          <w:trHeight w:val="255"/>
          <w:jc w:val="center"/>
        </w:trPr>
        <w:tc>
          <w:tcPr>
            <w:tcW w:w="665"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2419"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11499-12</w:t>
            </w:r>
          </w:p>
        </w:tc>
        <w:tc>
          <w:tcPr>
            <w:tcW w:w="5047"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r>
      <w:tr w:rsidR="00BC492E" w:rsidTr="002E154E">
        <w:trPr>
          <w:trHeight w:val="255"/>
          <w:jc w:val="center"/>
        </w:trPr>
        <w:tc>
          <w:tcPr>
            <w:tcW w:w="665" w:type="dxa"/>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4.10.</w:t>
            </w:r>
          </w:p>
        </w:tc>
        <w:tc>
          <w:tcPr>
            <w:tcW w:w="2419"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11500-12</w:t>
            </w:r>
          </w:p>
        </w:tc>
        <w:tc>
          <w:tcPr>
            <w:tcW w:w="5047"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Munkahelyi egészség és biztonság</w:t>
            </w:r>
          </w:p>
        </w:tc>
      </w:tr>
    </w:tbl>
    <w:p w:rsidR="00BC492E" w:rsidRDefault="00BC492E" w:rsidP="00BC492E">
      <w:pPr>
        <w:widowControl w:val="0"/>
        <w:autoSpaceDE w:val="0"/>
        <w:autoSpaceDN w:val="0"/>
        <w:adjustRightInd w:val="0"/>
        <w:spacing w:after="0" w:line="240" w:lineRule="auto"/>
        <w:jc w:val="center"/>
        <w:rPr>
          <w:rFonts w:ascii="Times New Roman" w:hAnsi="Times New Roman" w:cs="Times New Roman"/>
          <w:b/>
          <w:bCs/>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5. VIZSGÁZTATÁSI KÖVETELMÉNYEK</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5.1. A komplex szakmai vizsgára bocsátás feltételei:</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iskolarendszeren kívüli szakképzésben az 5.2. pontban előírt valamennyi modulzáró vizsga eredményes letétele.</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Az iskolai rendszerű szakképzésben az évfolyam teljesítését igazoló bizonyítványban foglaltak szerint teljesített tantárgyak – a szakképzési kerettantervben meghatározottak szerint – egyenértékűek az adott követelménymodulhoz tartozó modulzáró vizsga teljesítésével</w:t>
      </w:r>
    </w:p>
    <w:p w:rsidR="00BC492E" w:rsidRDefault="00BC492E" w:rsidP="00BC492E">
      <w:pPr>
        <w:widowControl w:val="0"/>
        <w:autoSpaceDE w:val="0"/>
        <w:autoSpaceDN w:val="0"/>
        <w:adjustRightInd w:val="0"/>
        <w:spacing w:after="0" w:line="240" w:lineRule="auto"/>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 A modulzáró vizsga vizsgatevékenysége és az eredményesség feltétele:</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2184"/>
        <w:gridCol w:w="2428"/>
        <w:gridCol w:w="2279"/>
      </w:tblGrid>
      <w:tr w:rsidR="00BC492E" w:rsidTr="002E154E">
        <w:trPr>
          <w:jc w:val="center"/>
        </w:trPr>
        <w:tc>
          <w:tcPr>
            <w:tcW w:w="1059" w:type="dxa"/>
          </w:tcPr>
          <w:p w:rsidR="00BC492E" w:rsidRDefault="00BC492E" w:rsidP="002E154E">
            <w:pPr>
              <w:widowControl w:val="0"/>
              <w:autoSpaceDE w:val="0"/>
              <w:autoSpaceDN w:val="0"/>
              <w:adjustRightInd w:val="0"/>
              <w:spacing w:after="0" w:line="240" w:lineRule="auto"/>
              <w:ind w:firstLine="204"/>
              <w:jc w:val="both"/>
              <w:rPr>
                <w:rFonts w:ascii="Times New Roman" w:hAnsi="Times New Roman" w:cs="Times New Roman"/>
                <w:sz w:val="20"/>
                <w:szCs w:val="20"/>
              </w:rPr>
            </w:pPr>
          </w:p>
        </w:tc>
        <w:tc>
          <w:tcPr>
            <w:tcW w:w="2184"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A</w:t>
            </w:r>
          </w:p>
        </w:tc>
        <w:tc>
          <w:tcPr>
            <w:tcW w:w="2428"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B</w:t>
            </w:r>
          </w:p>
        </w:tc>
        <w:tc>
          <w:tcPr>
            <w:tcW w:w="2279" w:type="dxa"/>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sz w:val="20"/>
                <w:szCs w:val="20"/>
              </w:rPr>
            </w:pPr>
            <w:r>
              <w:rPr>
                <w:rFonts w:ascii="Times New Roman" w:hAnsi="Times New Roman" w:cs="Times New Roman"/>
                <w:sz w:val="20"/>
                <w:szCs w:val="20"/>
              </w:rPr>
              <w:t>C</w:t>
            </w:r>
          </w:p>
        </w:tc>
      </w:tr>
      <w:tr w:rsidR="00BC492E" w:rsidTr="002E154E">
        <w:trPr>
          <w:jc w:val="center"/>
        </w:trPr>
        <w:tc>
          <w:tcPr>
            <w:tcW w:w="105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5.2.1.</w:t>
            </w:r>
          </w:p>
        </w:tc>
        <w:tc>
          <w:tcPr>
            <w:tcW w:w="6891" w:type="dxa"/>
            <w:gridSpan w:val="3"/>
          </w:tcPr>
          <w:p w:rsidR="00BC492E" w:rsidRDefault="00BC492E" w:rsidP="002E154E">
            <w:pPr>
              <w:widowControl w:val="0"/>
              <w:autoSpaceDE w:val="0"/>
              <w:autoSpaceDN w:val="0"/>
              <w:adjustRightInd w:val="0"/>
              <w:spacing w:after="0" w:line="240" w:lineRule="auto"/>
              <w:ind w:firstLine="204"/>
              <w:jc w:val="center"/>
              <w:rPr>
                <w:rFonts w:ascii="Times New Roman" w:hAnsi="Times New Roman" w:cs="Times New Roman"/>
                <w:b/>
                <w:bCs/>
                <w:sz w:val="20"/>
                <w:szCs w:val="20"/>
              </w:rPr>
            </w:pPr>
            <w:r>
              <w:rPr>
                <w:rFonts w:ascii="Times New Roman" w:hAnsi="Times New Roman" w:cs="Times New Roman"/>
                <w:b/>
                <w:bCs/>
                <w:sz w:val="20"/>
                <w:szCs w:val="20"/>
              </w:rPr>
              <w:t>A szakképesítés szakmai követelménymoduljainak</w:t>
            </w:r>
          </w:p>
        </w:tc>
      </w:tr>
      <w:tr w:rsidR="00BC492E" w:rsidTr="002E154E">
        <w:trPr>
          <w:jc w:val="center"/>
        </w:trPr>
        <w:tc>
          <w:tcPr>
            <w:tcW w:w="105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5.2.2.</w:t>
            </w:r>
          </w:p>
        </w:tc>
        <w:tc>
          <w:tcPr>
            <w:tcW w:w="2184" w:type="dxa"/>
          </w:tcPr>
          <w:p w:rsidR="00BC492E" w:rsidRDefault="00BC492E" w:rsidP="002E154E">
            <w:pPr>
              <w:widowControl w:val="0"/>
              <w:autoSpaceDE w:val="0"/>
              <w:autoSpaceDN w:val="0"/>
              <w:adjustRightInd w:val="0"/>
              <w:spacing w:after="0" w:line="240" w:lineRule="auto"/>
              <w:ind w:firstLine="204"/>
              <w:jc w:val="both"/>
              <w:rPr>
                <w:rFonts w:ascii="Times New Roman" w:hAnsi="Times New Roman" w:cs="Times New Roman"/>
                <w:b/>
                <w:bCs/>
                <w:sz w:val="20"/>
                <w:szCs w:val="20"/>
              </w:rPr>
            </w:pPr>
            <w:r>
              <w:rPr>
                <w:rFonts w:ascii="Times New Roman" w:hAnsi="Times New Roman" w:cs="Times New Roman"/>
                <w:b/>
                <w:bCs/>
                <w:sz w:val="20"/>
                <w:szCs w:val="20"/>
              </w:rPr>
              <w:t>azonosító száma</w:t>
            </w:r>
          </w:p>
        </w:tc>
        <w:tc>
          <w:tcPr>
            <w:tcW w:w="2428" w:type="dxa"/>
          </w:tcPr>
          <w:p w:rsidR="00BC492E" w:rsidRDefault="00BC492E" w:rsidP="002E154E">
            <w:pPr>
              <w:widowControl w:val="0"/>
              <w:autoSpaceDE w:val="0"/>
              <w:autoSpaceDN w:val="0"/>
              <w:adjustRightInd w:val="0"/>
              <w:spacing w:after="0" w:line="240" w:lineRule="auto"/>
              <w:ind w:firstLine="204"/>
              <w:jc w:val="both"/>
              <w:rPr>
                <w:rFonts w:ascii="Times New Roman" w:hAnsi="Times New Roman" w:cs="Times New Roman"/>
                <w:b/>
                <w:bCs/>
                <w:sz w:val="20"/>
                <w:szCs w:val="20"/>
              </w:rPr>
            </w:pPr>
            <w:r>
              <w:rPr>
                <w:rFonts w:ascii="Times New Roman" w:hAnsi="Times New Roman" w:cs="Times New Roman"/>
                <w:b/>
                <w:bCs/>
                <w:sz w:val="20"/>
                <w:szCs w:val="20"/>
              </w:rPr>
              <w:t>megnevezése</w:t>
            </w:r>
          </w:p>
        </w:tc>
        <w:tc>
          <w:tcPr>
            <w:tcW w:w="2279" w:type="dxa"/>
          </w:tcPr>
          <w:p w:rsidR="00BC492E" w:rsidRDefault="00BC492E" w:rsidP="002E154E">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 modulzáró vizsga vizsgatevékenysége</w:t>
            </w:r>
          </w:p>
        </w:tc>
      </w:tr>
      <w:tr w:rsidR="00BC492E" w:rsidTr="002E154E">
        <w:trPr>
          <w:jc w:val="center"/>
        </w:trPr>
        <w:tc>
          <w:tcPr>
            <w:tcW w:w="105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5.2.3.</w:t>
            </w:r>
          </w:p>
        </w:tc>
        <w:tc>
          <w:tcPr>
            <w:tcW w:w="2184"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10044-12</w:t>
            </w:r>
          </w:p>
        </w:tc>
        <w:tc>
          <w:tcPr>
            <w:tcW w:w="2428"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Élelmiszer, fogyasztóvédelem</w:t>
            </w:r>
          </w:p>
        </w:tc>
        <w:tc>
          <w:tcPr>
            <w:tcW w:w="2279"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BC492E" w:rsidTr="002E154E">
        <w:trPr>
          <w:jc w:val="center"/>
        </w:trPr>
        <w:tc>
          <w:tcPr>
            <w:tcW w:w="105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5.2.4.</w:t>
            </w:r>
          </w:p>
        </w:tc>
        <w:tc>
          <w:tcPr>
            <w:tcW w:w="2184"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10045-12</w:t>
            </w:r>
          </w:p>
        </w:tc>
        <w:tc>
          <w:tcPr>
            <w:tcW w:w="2428"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Gazdálkodás</w:t>
            </w:r>
          </w:p>
        </w:tc>
        <w:tc>
          <w:tcPr>
            <w:tcW w:w="227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írásbeli</w:t>
            </w:r>
          </w:p>
        </w:tc>
      </w:tr>
      <w:tr w:rsidR="00BC492E" w:rsidTr="002E154E">
        <w:trPr>
          <w:jc w:val="center"/>
        </w:trPr>
        <w:tc>
          <w:tcPr>
            <w:tcW w:w="105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5.2.5.</w:t>
            </w:r>
          </w:p>
        </w:tc>
        <w:tc>
          <w:tcPr>
            <w:tcW w:w="2184"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10046-12</w:t>
            </w:r>
          </w:p>
        </w:tc>
        <w:tc>
          <w:tcPr>
            <w:tcW w:w="2428"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Szakmai idegen nyelv</w:t>
            </w:r>
          </w:p>
        </w:tc>
        <w:tc>
          <w:tcPr>
            <w:tcW w:w="227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sz w:val="20"/>
                <w:szCs w:val="20"/>
              </w:rPr>
              <w:t>szóbeli</w:t>
            </w:r>
          </w:p>
        </w:tc>
      </w:tr>
      <w:tr w:rsidR="00BC492E" w:rsidTr="002E154E">
        <w:trPr>
          <w:jc w:val="center"/>
        </w:trPr>
        <w:tc>
          <w:tcPr>
            <w:tcW w:w="105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5.2.6.</w:t>
            </w:r>
          </w:p>
        </w:tc>
        <w:tc>
          <w:tcPr>
            <w:tcW w:w="2184"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10047-12</w:t>
            </w:r>
          </w:p>
        </w:tc>
        <w:tc>
          <w:tcPr>
            <w:tcW w:w="2428"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Felszolgálás alapjai</w:t>
            </w:r>
          </w:p>
        </w:tc>
        <w:tc>
          <w:tcPr>
            <w:tcW w:w="2279"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p>
        </w:tc>
      </w:tr>
      <w:tr w:rsidR="00BC492E" w:rsidTr="002E154E">
        <w:trPr>
          <w:jc w:val="center"/>
        </w:trPr>
        <w:tc>
          <w:tcPr>
            <w:tcW w:w="105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5.2.7.</w:t>
            </w:r>
          </w:p>
        </w:tc>
        <w:tc>
          <w:tcPr>
            <w:tcW w:w="2184"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10074-12</w:t>
            </w:r>
          </w:p>
        </w:tc>
        <w:tc>
          <w:tcPr>
            <w:tcW w:w="2428"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Felszolgálás</w:t>
            </w:r>
          </w:p>
        </w:tc>
        <w:tc>
          <w:tcPr>
            <w:tcW w:w="2279"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gyakorlati</w:t>
            </w:r>
          </w:p>
        </w:tc>
      </w:tr>
      <w:tr w:rsidR="00BC492E" w:rsidTr="002E154E">
        <w:trPr>
          <w:jc w:val="center"/>
        </w:trPr>
        <w:tc>
          <w:tcPr>
            <w:tcW w:w="105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5.2.8.</w:t>
            </w:r>
          </w:p>
        </w:tc>
        <w:tc>
          <w:tcPr>
            <w:tcW w:w="2184"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11497-12</w:t>
            </w:r>
          </w:p>
        </w:tc>
        <w:tc>
          <w:tcPr>
            <w:tcW w:w="2428"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w:t>
            </w:r>
          </w:p>
        </w:tc>
        <w:tc>
          <w:tcPr>
            <w:tcW w:w="2279" w:type="dxa"/>
          </w:tcPr>
          <w:p w:rsidR="00BC492E" w:rsidRDefault="00BC492E" w:rsidP="002E15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BC492E" w:rsidTr="002E154E">
        <w:trPr>
          <w:jc w:val="center"/>
        </w:trPr>
        <w:tc>
          <w:tcPr>
            <w:tcW w:w="105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5.2.9.</w:t>
            </w:r>
          </w:p>
        </w:tc>
        <w:tc>
          <w:tcPr>
            <w:tcW w:w="2184"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11499-12</w:t>
            </w:r>
          </w:p>
        </w:tc>
        <w:tc>
          <w:tcPr>
            <w:tcW w:w="2428"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Foglalkoztatás II.</w:t>
            </w:r>
          </w:p>
        </w:tc>
        <w:tc>
          <w:tcPr>
            <w:tcW w:w="2279" w:type="dxa"/>
          </w:tcPr>
          <w:p w:rsidR="00BC492E" w:rsidRDefault="00BC492E" w:rsidP="002E15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r w:rsidR="00BC492E" w:rsidTr="002E154E">
        <w:trPr>
          <w:jc w:val="center"/>
        </w:trPr>
        <w:tc>
          <w:tcPr>
            <w:tcW w:w="1059"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5.2.10.</w:t>
            </w:r>
          </w:p>
        </w:tc>
        <w:tc>
          <w:tcPr>
            <w:tcW w:w="2184" w:type="dxa"/>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11500-12</w:t>
            </w:r>
          </w:p>
        </w:tc>
        <w:tc>
          <w:tcPr>
            <w:tcW w:w="2428" w:type="dxa"/>
          </w:tcPr>
          <w:p w:rsidR="00BC492E" w:rsidRDefault="00BC492E" w:rsidP="002E154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Munkahelyi egészség és biztonság</w:t>
            </w:r>
          </w:p>
        </w:tc>
        <w:tc>
          <w:tcPr>
            <w:tcW w:w="2279" w:type="dxa"/>
          </w:tcPr>
          <w:p w:rsidR="00BC492E" w:rsidRDefault="00BC492E" w:rsidP="002E154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írásbeli</w:t>
            </w:r>
          </w:p>
        </w:tc>
      </w:tr>
    </w:tbl>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 szakmai követelménymodulhoz kapcsolódó modulzáró vizsga akkor eredményes, ha a modulhoz előírt feladat végrehajtása legalább 51 %-osra értékelhető.</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 A komplex szakmai vizsga vizsgatevékenységei és vizsgafeladatai:</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5.3.1. Gyakorlati vizsgatevékenység</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Menü összeállítás és felszolgálás</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vizsgázó egy ötfogásos menüt és hozzá illő italsort állít össze, egy meghatározott alkalomra és időpontra. A vizsgázó az általa összeállított étel- és italsorhoz 4 oldalas menükártyát készít, számítógépen. A vizsgázó az általa összeállított étel- és italsorra díszterítést készít 2 főre.</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Megterít a vizsgaszervező által összeállított 3 fogásos menüsorra, mely nem képezi a vizsgatevékenység részét, a terítés munkafolyamatára fordított idő nem a vizsgatevékenység időtartamának része.</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Fogadja a vendéget, leülteti, menüsort ismertet, háromfogásos menüsort szolgál fel angol felszolgálási módban, melyből egy fogás esetében a vendég asztalánál végzett különleges éttermi munka a jellemző.</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Saláták készítése, vagy halak filézése, vagy hátszín, bélszín szeletelése, vagy sertés-, marha-, borjú-, ürü- és bárányhúsok szeletelése, vagy szárnyasok trancsírozása, vagy tatár beefsteak keverése, vagy flambírozás, vagy ételkocsiról, sajtkocsiról kínálás, tálalás, vagy egyéb ételek készítése a vendég előtt.</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menüsorhoz italfelszolgálást is végez (ásványvíz, bor vagy pezsgő, kávé), a kávét a pincér készíti el a vizsgán. A menüsor felszolgálása után kiállítja a vendég számára a számlát, melyet gépi vagy manuális számlázással készít el, a vizsgaszervező által megadott árak és számlázási adatok alapján. A felszolgálás befejeztével felméri a vendégek elégedettségét, elköszön a vendégtől</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210 perc</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60 %</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5.3.2. Központi írásbeli vizsgatevékenység</w:t>
      </w:r>
    </w:p>
    <w:p w:rsidR="00BC492E" w:rsidRDefault="00BC492E" w:rsidP="00BC492E">
      <w:pPr>
        <w:widowControl w:val="0"/>
        <w:autoSpaceDE w:val="0"/>
        <w:autoSpaceDN w:val="0"/>
        <w:adjustRightInd w:val="0"/>
        <w:spacing w:after="0" w:line="240" w:lineRule="auto"/>
        <w:ind w:firstLine="204"/>
        <w:jc w:val="both"/>
        <w:rPr>
          <w:rFonts w:ascii="Times New Roman" w:hAnsi="Times New Roman" w:cs="Times New Roman"/>
          <w:b/>
          <w:bCs/>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A pincér adminisztrációs tevékenysége</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központi írásbeli az alábbi tématerületekből tartalmaz feladatokat:</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Nyomtatványok kitöltése, felismerése, tartalmának ismerete, alkalmazása (készpénzfizetési számla, átutalási számla, nyugta, szállítólevél, áru-bevételezési jegy, raktározási jegy, vételezési jegy, felvásárlási jegy, standív, étkezési utalványok).</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Étlap- és itallapfajták felismerése, tartalmának ismerete, elkészítése, étel és italcsoportok kialakítása, hibák javítása, étel és italcsoportok rendszerezése. Árkalkuláció, engedmények érvényesítése, számítása. Árközlés eszközei a vendéglátó üzletben, elkészítésük, tartalmuk, alkalmazásuk. Jelenléti ív kitöltése, tartalmának ismerete. Standolás, standív elkészítése, elszámolás. Áruátvétel munkafolyamata, szempontjai. Vásárlók könyve tartalma, használata, reklamáció ügyintézése, adminisztratív teendők. Leltár munkafolyamata, leltár </w:t>
      </w:r>
      <w:r>
        <w:rPr>
          <w:rFonts w:ascii="Times New Roman" w:hAnsi="Times New Roman" w:cs="Times New Roman"/>
          <w:sz w:val="20"/>
          <w:szCs w:val="20"/>
        </w:rPr>
        <w:lastRenderedPageBreak/>
        <w:t>bizonylatainak ismerete, használata, kitöltése.</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HACCP dokumentáció ismerete, kitöltése, előírásainak alkalmazása (Intézkedési terv, Team ülések jegyzőkönyve, Oktatási jegyzőkönyv, Napi ellenőrzési lap, Hűtőterek hőmérséklet ellenőrzési lapja). Higiéniai előírások a vendéglátásban (tisztítás, fertőtlenítés, hulladékkezelés, rovar- és rágcsálóirtás, személyi higiénia, felszolgálás, terítés, elszállítás, kiszállítás, rendezvények, pohármosogatás, polírozás, sörcsapolás). Munkavédelmi és balesetvédelmi ismeretek (balesetek, jegyzőkönyv, teendők baleset esetén, munkavédelmi és balesetvédelmi oktatás). Tűzvédelmi előírások (tűzvédelmi oktatás jegyzőkönyve, tűzoltó készülékekre és tűzcsapra vonatkozó előírások, tűzvédelmi osztályok, tűzoltás módjai, tűzjelzés, tűz bejelentése, tűzvédelmi szabályzat)</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90 perc</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20 %</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5.3.3. Szóbeli vizsgatevékenység</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megnevezése: Étel- italajánlat, szakmai idegen nyelvi kommunikáció</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ismertetése: A vizsgaszervező által összeállított idegen nyelvű étlap és itallap segítségével idegen nyelven kommunikál a vendégfogadás pillanatától a vendég távozásáig. (köszöntés, helykínálás, ajánlás, étel- italmegrendelés felvétele, felszolgálás, elégedettség felmérése, számlázás, elköszönés). A kommunikáció során a különböző igényekkel érkező vendég kívánságait megérti, ez alapján ajánl ételt és italt az étlapról (pl. vegetáriánus vendég, fogyókúrát tartó vendég, csak bizonyos húsféléket evő vendég, vallási felekezetekhez tartozó vendégek, különböző betegségekben szenvedő vendég)</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Egy-egy ételcsoportot bemutat, tálalási módjait, tálaláshoz szükséges eszközöket, az ételekhez ajánlható italokkal. Egy-egy italcsoport bemutatása, felszolgálásuk és az ehhez szükséges eszközök ismertetése</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időtartama: 40 perc (felkészülési idő 20 perc, válaszadási idő 20 perc)</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 vizsgafeladat értékelési súlyaránya: 20 %</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 A vizsgatevékenységek szervezésére, azok vizsgaidőpontjaira, a vizsgaidőszakokra, a vizsgatevékenységek vizsgatételeire, értékelési útmutatóira és egyéb dokumentumaira, a vizsgán használható segédeszközökre vonatkozó részletes szabályok:</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szakképesítéssel kapcsolatos előírások az állami szakképzési és felnőttképzési szerv </w:t>
      </w:r>
      <w:r>
        <w:rPr>
          <w:rFonts w:ascii="Times New Roman" w:hAnsi="Times New Roman" w:cs="Times New Roman"/>
          <w:sz w:val="20"/>
          <w:szCs w:val="20"/>
          <w:u w:val="single"/>
        </w:rPr>
        <w:t>http://www.munka.hu/</w:t>
      </w:r>
      <w:r>
        <w:rPr>
          <w:rFonts w:ascii="Times New Roman" w:hAnsi="Times New Roman" w:cs="Times New Roman"/>
          <w:sz w:val="20"/>
          <w:szCs w:val="20"/>
        </w:rPr>
        <w:t xml:space="preserve"> című weblapján érhetők el a Szak- és felnőttképzés Vizsgák menüpontjában</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5.5. A szakmai vizsga értékelésének a szakmai vizsgaszabályzattól eltérő szempontjai: –</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 ESZKÖZ- ÉS FELSZERELÉSI JEGYZÉK</w:t>
      </w:r>
    </w:p>
    <w:p w:rsidR="00BC492E" w:rsidRDefault="00BC492E" w:rsidP="00BC492E">
      <w:pPr>
        <w:widowControl w:val="0"/>
        <w:autoSpaceDE w:val="0"/>
        <w:autoSpaceDN w:val="0"/>
        <w:adjustRightInd w:val="0"/>
        <w:spacing w:after="0" w:line="240" w:lineRule="auto"/>
        <w:rPr>
          <w:rFonts w:ascii="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770"/>
        <w:gridCol w:w="3835"/>
      </w:tblGrid>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A</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 képzési és vizsgáztatási feladatok teljesítéséhez szükséges eszközök minimumát meghatározó eszköz- és felszerelési jegyzék</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Értékesítő üzlet berendezései, gépei</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Felszolgáláshoz szükséges anyagok, eszközök (evőeszközök, poharak, tányérok, stb.)</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Asztali díszítő elemek (gyertya, virág, tükör, stb.)</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Tájékoztató és reklám anyagok és eszközök (étlap, itallap, szóróanyagok, stb.)</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Fémeszközök</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Üveg eszközök</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Papír eszközök</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Éttermi bútorzat</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6.10.</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Gépek, berendezések</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Báreszközök</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Italkeverés eszközei</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6.13.</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Éttermi textíliák</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6.14.</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Telefon</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Számítógép (a vendéglátás által használt üzleti programokkal)</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6.16.</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Porceláneszközök</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6.17.</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Pénztárgép</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6.18.</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Internetkapcsolat</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6.19.</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Fénymásoló</w:t>
            </w:r>
          </w:p>
        </w:tc>
      </w:tr>
      <w:tr w:rsidR="00BC492E" w:rsidTr="002E154E">
        <w:trPr>
          <w:jc w:val="center"/>
        </w:trPr>
        <w:tc>
          <w:tcPr>
            <w:tcW w:w="770" w:type="dxa"/>
            <w:tcBorders>
              <w:top w:val="single" w:sz="4" w:space="0" w:color="auto"/>
              <w:left w:val="single" w:sz="4" w:space="0" w:color="auto"/>
              <w:bottom w:val="single" w:sz="4" w:space="0" w:color="auto"/>
              <w:right w:val="single" w:sz="4" w:space="0" w:color="auto"/>
            </w:tcBorders>
          </w:tcPr>
          <w:p w:rsidR="00BC492E" w:rsidRDefault="00BC492E" w:rsidP="002E154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w:t>
            </w:r>
          </w:p>
        </w:tc>
        <w:tc>
          <w:tcPr>
            <w:tcW w:w="3835" w:type="dxa"/>
            <w:tcBorders>
              <w:top w:val="single" w:sz="4" w:space="0" w:color="auto"/>
              <w:left w:val="single" w:sz="4" w:space="0" w:color="auto"/>
              <w:bottom w:val="single" w:sz="4" w:space="0" w:color="auto"/>
              <w:right w:val="single" w:sz="4" w:space="0" w:color="auto"/>
            </w:tcBorders>
            <w:vAlign w:val="center"/>
          </w:tcPr>
          <w:p w:rsidR="00BC492E" w:rsidRDefault="00BC492E" w:rsidP="002E1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Éttermi faeszközök</w:t>
            </w:r>
          </w:p>
        </w:tc>
      </w:tr>
    </w:tbl>
    <w:p w:rsidR="00BC492E" w:rsidRDefault="00BC492E" w:rsidP="00BC492E">
      <w:pPr>
        <w:widowControl w:val="0"/>
        <w:autoSpaceDE w:val="0"/>
        <w:autoSpaceDN w:val="0"/>
        <w:adjustRightInd w:val="0"/>
        <w:spacing w:after="0" w:line="240" w:lineRule="auto"/>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 EGYEBEK</w:t>
      </w:r>
    </w:p>
    <w:p w:rsidR="00BC492E" w:rsidRDefault="00BC492E" w:rsidP="00BC492E">
      <w:pPr>
        <w:widowControl w:val="0"/>
        <w:autoSpaceDE w:val="0"/>
        <w:autoSpaceDN w:val="0"/>
        <w:adjustRightInd w:val="0"/>
        <w:spacing w:after="0" w:line="240" w:lineRule="auto"/>
        <w:jc w:val="center"/>
        <w:rPr>
          <w:rFonts w:ascii="Times New Roman" w:hAnsi="Times New Roman" w:cs="Times New Roman"/>
          <w:sz w:val="20"/>
          <w:szCs w:val="20"/>
        </w:rPr>
      </w:pP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7.1. Modulzáró vizsga alól felmentés adható a következő esetekben:</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6273-11 Vendéglátó gazdálkodási tevékenységek modul teljesítése esetén a 10045-12 Gazdálkodás modul modulzáró vizsgájának teljesítése alól.</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6274-11 Vendéglátó tevékenység alapjai modul teljesítése esetén a 10044-12 Élelmiszer, fogyasztóvédelem modul modulzáró vizsgájának teljesítése alól.</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6275-11 Szakmai idegen nyelvi kommunikáció modul teljesítése esetén a 10046-12 Szakmai idegen nyelv modul modulzáró vizsgájának teljesítése alól.</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6278-11 Felszolgálás I. modul teljesítése esetén a 10047-12 Felszolgálás alapjai modul modulzáró vizsgájának teljesítése alól.</w:t>
      </w:r>
    </w:p>
    <w:p w:rsidR="00BC492E" w:rsidRDefault="00BC492E" w:rsidP="00BC492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6279-11 Felszolgálás II. modul teljesítése esetén a 10074-12 Felszolgálás modul modulzáró vizsgájának teljesítése alól.</w:t>
      </w:r>
    </w:p>
    <w:p w:rsidR="00FF1AC9" w:rsidRDefault="00FF1AC9"/>
    <w:sectPr w:rsidR="00FF1AC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2E" w:rsidRDefault="00BC492E" w:rsidP="00BC492E">
      <w:pPr>
        <w:spacing w:after="0" w:line="240" w:lineRule="auto"/>
      </w:pPr>
      <w:r>
        <w:separator/>
      </w:r>
    </w:p>
  </w:endnote>
  <w:endnote w:type="continuationSeparator" w:id="0">
    <w:p w:rsidR="00BC492E" w:rsidRDefault="00BC492E" w:rsidP="00BC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2E" w:rsidRDefault="00BC492E" w:rsidP="00BC492E">
      <w:pPr>
        <w:spacing w:after="0" w:line="240" w:lineRule="auto"/>
      </w:pPr>
      <w:r>
        <w:separator/>
      </w:r>
    </w:p>
  </w:footnote>
  <w:footnote w:type="continuationSeparator" w:id="0">
    <w:p w:rsidR="00BC492E" w:rsidRDefault="00BC492E" w:rsidP="00BC4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85" w:rsidRDefault="006A0185" w:rsidP="006A0185">
    <w:pPr>
      <w:pStyle w:val="lfej"/>
      <w:jc w:val="center"/>
      <w:rPr>
        <w:rFonts w:ascii="Times New Roman" w:hAnsi="Times New Roman" w:cs="Times New Roman"/>
      </w:rPr>
    </w:pPr>
    <w:r>
      <w:rPr>
        <w:rFonts w:ascii="Times New Roman" w:hAnsi="Times New Roman" w:cs="Times New Roman"/>
      </w:rPr>
      <w:t>A 25/2014. (VIII. 26.) NGM rendelettel módosított 27/2012. (VIII. 27.) NGM rendelet a nemzetgazdasági miniszter hatáskörébe tartozó szakképesítések szakmai és vizsgakövetelményeiről</w:t>
    </w:r>
  </w:p>
  <w:p w:rsidR="00BC492E" w:rsidRDefault="00BC492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2E"/>
    <w:rsid w:val="006A0185"/>
    <w:rsid w:val="00BC492E"/>
    <w:rsid w:val="00FF1A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C492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C492E"/>
    <w:pPr>
      <w:tabs>
        <w:tab w:val="center" w:pos="4536"/>
        <w:tab w:val="right" w:pos="9072"/>
      </w:tabs>
      <w:spacing w:after="0" w:line="240" w:lineRule="auto"/>
    </w:pPr>
  </w:style>
  <w:style w:type="character" w:customStyle="1" w:styleId="lfejChar">
    <w:name w:val="Élőfej Char"/>
    <w:basedOn w:val="Bekezdsalapbettpusa"/>
    <w:link w:val="lfej"/>
    <w:uiPriority w:val="99"/>
    <w:rsid w:val="00BC492E"/>
  </w:style>
  <w:style w:type="paragraph" w:styleId="llb">
    <w:name w:val="footer"/>
    <w:basedOn w:val="Norml"/>
    <w:link w:val="llbChar"/>
    <w:uiPriority w:val="99"/>
    <w:unhideWhenUsed/>
    <w:rsid w:val="00BC492E"/>
    <w:pPr>
      <w:tabs>
        <w:tab w:val="center" w:pos="4536"/>
        <w:tab w:val="right" w:pos="9072"/>
      </w:tabs>
      <w:spacing w:after="0" w:line="240" w:lineRule="auto"/>
    </w:pPr>
  </w:style>
  <w:style w:type="character" w:customStyle="1" w:styleId="llbChar">
    <w:name w:val="Élőláb Char"/>
    <w:basedOn w:val="Bekezdsalapbettpusa"/>
    <w:link w:val="llb"/>
    <w:uiPriority w:val="99"/>
    <w:rsid w:val="00BC4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C492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C492E"/>
    <w:pPr>
      <w:tabs>
        <w:tab w:val="center" w:pos="4536"/>
        <w:tab w:val="right" w:pos="9072"/>
      </w:tabs>
      <w:spacing w:after="0" w:line="240" w:lineRule="auto"/>
    </w:pPr>
  </w:style>
  <w:style w:type="character" w:customStyle="1" w:styleId="lfejChar">
    <w:name w:val="Élőfej Char"/>
    <w:basedOn w:val="Bekezdsalapbettpusa"/>
    <w:link w:val="lfej"/>
    <w:uiPriority w:val="99"/>
    <w:rsid w:val="00BC492E"/>
  </w:style>
  <w:style w:type="paragraph" w:styleId="llb">
    <w:name w:val="footer"/>
    <w:basedOn w:val="Norml"/>
    <w:link w:val="llbChar"/>
    <w:uiPriority w:val="99"/>
    <w:unhideWhenUsed/>
    <w:rsid w:val="00BC492E"/>
    <w:pPr>
      <w:tabs>
        <w:tab w:val="center" w:pos="4536"/>
        <w:tab w:val="right" w:pos="9072"/>
      </w:tabs>
      <w:spacing w:after="0" w:line="240" w:lineRule="auto"/>
    </w:pPr>
  </w:style>
  <w:style w:type="character" w:customStyle="1" w:styleId="llbChar">
    <w:name w:val="Élőláb Char"/>
    <w:basedOn w:val="Bekezdsalapbettpusa"/>
    <w:link w:val="llb"/>
    <w:uiPriority w:val="99"/>
    <w:rsid w:val="00BC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10295</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NMH_SZFI</dc:creator>
  <cp:lastModifiedBy>NMH_SZFI</cp:lastModifiedBy>
  <cp:revision>2</cp:revision>
  <dcterms:created xsi:type="dcterms:W3CDTF">2014-08-28T13:30:00Z</dcterms:created>
  <dcterms:modified xsi:type="dcterms:W3CDTF">2014-09-01T07:42:00Z</dcterms:modified>
</cp:coreProperties>
</file>